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105" w:firstLine="0"/>
        <w:jc w:val="center"/>
        <w:rPr>
          <w:rFonts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000000"/>
          <w:spacing w:val="0"/>
          <w:sz w:val="40"/>
          <w:szCs w:val="40"/>
          <w:bdr w:val="none" w:color="auto" w:sz="0" w:space="0"/>
          <w:shd w:val="clear" w:fill="C1E6C6"/>
        </w:rPr>
        <w:t>202</w:t>
      </w:r>
      <w:r>
        <w:rPr>
          <w:rFonts w:hint="default" w:ascii="方正小标宋_GBK" w:hAnsi="方正小标宋_GBK" w:eastAsia="方正小标宋_GBK" w:cs="方正小标宋_GBK"/>
          <w:i w:val="0"/>
          <w:iCs w:val="0"/>
          <w:caps w:val="0"/>
          <w:color w:val="000000"/>
          <w:spacing w:val="0"/>
          <w:sz w:val="40"/>
          <w:szCs w:val="40"/>
          <w:bdr w:val="none" w:color="auto" w:sz="0" w:space="0"/>
          <w:shd w:val="clear" w:fill="C1E6C6"/>
        </w:rPr>
        <w:t>1年安徽省大学生财税技能大赛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105"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000000"/>
          <w:spacing w:val="0"/>
          <w:sz w:val="40"/>
          <w:szCs w:val="40"/>
          <w:bdr w:val="none" w:color="auto" w:sz="0" w:space="0"/>
          <w:shd w:val="clear" w:fill="C1E6C6"/>
        </w:rPr>
        <w:t>赛项规程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b/>
          <w:bCs/>
          <w:i w:val="0"/>
          <w:iCs w:val="0"/>
          <w:caps w:val="0"/>
          <w:color w:val="000000"/>
          <w:spacing w:val="0"/>
          <w:sz w:val="32"/>
          <w:szCs w:val="32"/>
          <w:bdr w:val="none" w:color="auto" w:sz="0" w:space="0"/>
          <w:shd w:val="clear" w:fill="C1E6C6"/>
        </w:rPr>
        <w:t>一、赛项名称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赛项名称：安徽省大学生财税技能大赛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英语名称：Accounting &amp; Taxation Skills Competitions for College Students in Anhui Province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赛项组别：本科组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二、竞赛组织机构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主办单位：</w:t>
      </w: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安徽省教育厅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承办单位：</w:t>
      </w: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安徽财经大学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（一）组织委员会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主任    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储常连  安徽省教育厅副厅长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执行主任委员：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丁忠明  安徽财经大学党委书记、校长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副主任 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张尔桂 安徽省教育厅高教处处长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周加来  安徽财经大学党委常委、副校长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全省各高校分管教学或创新创业教育工作校领导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委  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朱永国  安徽省教育厅高教处副处长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郑承志  安徽商贸职业技术学院副院长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经庭如  安徽财经大学教务处处长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储德银  安徽财经大学财政与公共管理学院院长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全省各高校教务处长或分管创新创业工作部门负责人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（二）专家委员会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主任  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李永友  浙江财经大学副校长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副主任委员：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朱   军  南京财经大学财税学院院长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钱海燕  安徽大学经济学院教授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委  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管永昊  南京财经大学研究生院副院长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项桂娥  池州学院商学院院长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许宗凤  铜陵学院财税与公共管理学院院长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丁增稳  安徽商贸职业技术学院会计学院院长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陈长强  安徽丰原集团有限公司财务总监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罗鸣令  安徽财经大学财政与公共管理学院副院长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（三）仲裁委员会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鲍文前  安徽省财政厅财政科学研究所所长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副主任委员：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司言武  浙江财经大学财政税务学院院长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朱  枫  安徽省注册税务师协会主任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潘  震  安徽永大正瑞税务师事务所所长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白良鸿  信永中和（北京）税务师事务所合伙人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（四）秘书处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96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罗鸣令  安徽财经大学财政与公共管理学院副院长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秘书处工作人员名单在大赛官网（http://csds.aufe.edu.cn/main.htm）另行公布。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三、大赛目的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通过本次大赛，激发学生学习财税知识兴趣、提高学生财税知识应用能力，培养和提升学生财税业务处理能力、综合素养和团队协作创新精神，树立学生依法纳税、控制财税风险的观念，展示财税专业课程教学改革与实践创新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四、竞赛内容及成绩评定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（一）本科组技能赛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1.初赛内容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56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1）会计的基础理论知识（包括会计基本假设、会计信息质量要求、会计要素与会计恒等式、会计核算基础、会计计量属性、会计科目与账户、借贷记账方法、会计凭证与账簿等）、企业基本经济业务的核算、报表的编制及政府会计、事业单位会计部分内容；税收基础理论知识、18种税的识别与计算以及税款征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56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（2）评分标准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56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网络自动评分，答对得相应分值，答错不计分。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562"/>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2.决赛内容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56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本次省级决赛过程中涉及财税知识全部依据当前最新的企业会计准则与税收法规。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1）按企业财务人员的实际工作流程考核参赛队员财税理论知识的掌握情况，具体为企业创建阶段财税处理、日常经营业务（涵盖金融资产、非货币交易、债务重组及生产成本）的财税处理、利润形成与分配的财税处理、报表的编制与分析，以及将18种税贯穿在不同阶段所进行的整体考核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2）考核参赛队员是否具备处理日常财税业务的能力，具体包括会计电算化处理、模拟税务局操作（包括企业发行、发票发售、报税、认证及电子底账库管理等）、增值税防伪税控系统操作（包含增值税专用发票、增值税普通发票、增值税电子发票开具）、增值税发票选择确认、网上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（3）决赛理论知识比赛内容</w:t>
      </w:r>
    </w:p>
    <w:tbl>
      <w:tblPr>
        <w:tblW w:w="8196" w:type="dxa"/>
        <w:tblInd w:w="0" w:type="dxa"/>
        <w:shd w:val="clear" w:color="auto" w:fill="C1E6C6"/>
        <w:tblLayout w:type="autofit"/>
        <w:tblCellMar>
          <w:top w:w="0" w:type="dxa"/>
          <w:left w:w="0" w:type="dxa"/>
          <w:bottom w:w="0" w:type="dxa"/>
          <w:right w:w="0" w:type="dxa"/>
        </w:tblCellMar>
      </w:tblPr>
      <w:tblGrid>
        <w:gridCol w:w="774"/>
        <w:gridCol w:w="1275"/>
        <w:gridCol w:w="2127"/>
        <w:gridCol w:w="4020"/>
      </w:tblGrid>
      <w:tr>
        <w:tblPrEx>
          <w:shd w:val="clear" w:color="auto" w:fill="C1E6C6"/>
          <w:tblCellMar>
            <w:top w:w="0" w:type="dxa"/>
            <w:left w:w="0" w:type="dxa"/>
            <w:bottom w:w="0" w:type="dxa"/>
            <w:right w:w="0" w:type="dxa"/>
          </w:tblCellMar>
        </w:tblPrEx>
        <w:tc>
          <w:tcPr>
            <w:tcW w:w="774" w:type="dxa"/>
            <w:tcBorders>
              <w:top w:val="single" w:color="auto" w:sz="8" w:space="0"/>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000000"/>
                <w:spacing w:val="0"/>
                <w:sz w:val="24"/>
                <w:szCs w:val="24"/>
                <w:bdr w:val="none" w:color="auto" w:sz="0" w:space="0"/>
              </w:rPr>
              <w:t>序号</w:t>
            </w:r>
          </w:p>
        </w:tc>
        <w:tc>
          <w:tcPr>
            <w:tcW w:w="1275" w:type="dxa"/>
            <w:tcBorders>
              <w:top w:val="single" w:color="auto" w:sz="8" w:space="0"/>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000000"/>
                <w:spacing w:val="0"/>
                <w:sz w:val="24"/>
                <w:szCs w:val="24"/>
                <w:bdr w:val="none" w:color="auto" w:sz="0" w:space="0"/>
              </w:rPr>
              <w:t>能力目标</w:t>
            </w:r>
          </w:p>
        </w:tc>
        <w:tc>
          <w:tcPr>
            <w:tcW w:w="2127" w:type="dxa"/>
            <w:tcBorders>
              <w:top w:val="single" w:color="auto" w:sz="8" w:space="0"/>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pPr>
            <w:r>
              <w:rPr>
                <w:rFonts w:hint="eastAsia" w:ascii="仿宋" w:hAnsi="仿宋" w:eastAsia="仿宋" w:cs="仿宋"/>
                <w:b/>
                <w:bCs/>
                <w:i w:val="0"/>
                <w:iCs w:val="0"/>
                <w:caps w:val="0"/>
                <w:color w:val="000000"/>
                <w:spacing w:val="0"/>
                <w:sz w:val="24"/>
                <w:szCs w:val="24"/>
                <w:bdr w:val="none" w:color="auto" w:sz="0" w:space="0"/>
              </w:rPr>
              <w:t>具体要求</w:t>
            </w:r>
          </w:p>
        </w:tc>
        <w:tc>
          <w:tcPr>
            <w:tcW w:w="4020" w:type="dxa"/>
            <w:tcBorders>
              <w:top w:val="single" w:color="auto" w:sz="8" w:space="0"/>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pPr>
            <w:r>
              <w:rPr>
                <w:rFonts w:hint="eastAsia" w:ascii="仿宋" w:hAnsi="仿宋" w:eastAsia="仿宋" w:cs="仿宋"/>
                <w:b/>
                <w:bCs/>
                <w:i w:val="0"/>
                <w:iCs w:val="0"/>
                <w:caps w:val="0"/>
                <w:color w:val="000000"/>
                <w:spacing w:val="0"/>
                <w:sz w:val="24"/>
                <w:szCs w:val="24"/>
                <w:bdr w:val="none" w:color="auto" w:sz="0" w:space="0"/>
              </w:rPr>
              <w:t>知识点</w:t>
            </w:r>
          </w:p>
        </w:tc>
      </w:tr>
      <w:tr>
        <w:tblPrEx>
          <w:tblCellMar>
            <w:top w:w="0" w:type="dxa"/>
            <w:left w:w="0" w:type="dxa"/>
            <w:bottom w:w="0" w:type="dxa"/>
            <w:right w:w="0" w:type="dxa"/>
          </w:tblCellMar>
        </w:tblPrEx>
        <w:trPr>
          <w:trHeight w:val="50" w:hRule="atLeast"/>
        </w:trPr>
        <w:tc>
          <w:tcPr>
            <w:tcW w:w="774"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一</w:t>
            </w:r>
          </w:p>
        </w:tc>
        <w:tc>
          <w:tcPr>
            <w:tcW w:w="1275"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掌握会计记账的基本方法，掌握税种识别和税额计算能力</w:t>
            </w:r>
          </w:p>
        </w:tc>
        <w:tc>
          <w:tcPr>
            <w:tcW w:w="2127"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会计基础理论知识</w:t>
            </w: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会计基本假设</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会计信息质量要求</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会计要素、会计恒等式</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会计科目与账户</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会计凭证、会计记账与对账、更正错账方法</w:t>
            </w:r>
          </w:p>
        </w:tc>
      </w:tr>
      <w:tr>
        <w:tblPrEx>
          <w:tblCellMar>
            <w:top w:w="0" w:type="dxa"/>
            <w:left w:w="0" w:type="dxa"/>
            <w:bottom w:w="0" w:type="dxa"/>
            <w:right w:w="0" w:type="dxa"/>
          </w:tblCellMar>
        </w:tblPrEx>
        <w:trPr>
          <w:trHeight w:val="221"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会计档案</w:t>
            </w:r>
          </w:p>
        </w:tc>
      </w:tr>
      <w:tr>
        <w:tblPrEx>
          <w:tblCellMar>
            <w:top w:w="0" w:type="dxa"/>
            <w:left w:w="0" w:type="dxa"/>
            <w:bottom w:w="0" w:type="dxa"/>
            <w:right w:w="0" w:type="dxa"/>
          </w:tblCellMar>
        </w:tblPrEx>
        <w:trPr>
          <w:trHeight w:val="90"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税收基础知识</w:t>
            </w: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税法的分类、税收的分类</w:t>
            </w:r>
          </w:p>
        </w:tc>
      </w:tr>
      <w:tr>
        <w:tblPrEx>
          <w:tblCellMar>
            <w:top w:w="0" w:type="dxa"/>
            <w:left w:w="0" w:type="dxa"/>
            <w:bottom w:w="0" w:type="dxa"/>
            <w:right w:w="0" w:type="dxa"/>
          </w:tblCellMar>
        </w:tblPrEx>
        <w:trPr>
          <w:trHeight w:val="90"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税收构成的基本要素</w:t>
            </w:r>
          </w:p>
        </w:tc>
      </w:tr>
      <w:tr>
        <w:tblPrEx>
          <w:tblCellMar>
            <w:top w:w="0" w:type="dxa"/>
            <w:left w:w="0" w:type="dxa"/>
            <w:bottom w:w="0" w:type="dxa"/>
            <w:right w:w="0" w:type="dxa"/>
          </w:tblCellMar>
        </w:tblPrEx>
        <w:trPr>
          <w:trHeight w:val="223"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增值税基础理论（如增值税税收基本要素）</w:t>
            </w:r>
          </w:p>
        </w:tc>
      </w:tr>
      <w:tr>
        <w:tblPrEx>
          <w:tblCellMar>
            <w:top w:w="0" w:type="dxa"/>
            <w:left w:w="0" w:type="dxa"/>
            <w:bottom w:w="0" w:type="dxa"/>
            <w:right w:w="0" w:type="dxa"/>
          </w:tblCellMar>
        </w:tblPrEx>
        <w:trPr>
          <w:trHeight w:val="50"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消费税基础理论（如消费税税收基本要素）</w:t>
            </w:r>
          </w:p>
        </w:tc>
      </w:tr>
      <w:tr>
        <w:tblPrEx>
          <w:tblCellMar>
            <w:top w:w="0" w:type="dxa"/>
            <w:left w:w="0" w:type="dxa"/>
            <w:bottom w:w="0" w:type="dxa"/>
            <w:right w:w="0" w:type="dxa"/>
          </w:tblCellMar>
        </w:tblPrEx>
        <w:trPr>
          <w:trHeight w:val="50"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企业所得税基础理论（如企业所得税税收基本要素）</w:t>
            </w:r>
          </w:p>
        </w:tc>
      </w:tr>
      <w:tr>
        <w:tblPrEx>
          <w:tblCellMar>
            <w:top w:w="0" w:type="dxa"/>
            <w:left w:w="0" w:type="dxa"/>
            <w:bottom w:w="0" w:type="dxa"/>
            <w:right w:w="0" w:type="dxa"/>
          </w:tblCellMar>
        </w:tblPrEx>
        <w:trPr>
          <w:trHeight w:val="416"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个人所得税基础理论（如个人所得税税收基本要素）</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其他税种基础理论</w:t>
            </w:r>
          </w:p>
        </w:tc>
      </w:tr>
      <w:tr>
        <w:tblPrEx>
          <w:tblCellMar>
            <w:top w:w="0" w:type="dxa"/>
            <w:left w:w="0" w:type="dxa"/>
            <w:bottom w:w="0" w:type="dxa"/>
            <w:right w:w="0" w:type="dxa"/>
          </w:tblCellMar>
        </w:tblPrEx>
        <w:tc>
          <w:tcPr>
            <w:tcW w:w="774"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二</w:t>
            </w:r>
          </w:p>
        </w:tc>
        <w:tc>
          <w:tcPr>
            <w:tcW w:w="1275"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掌握企业不同阶段经济业务的财务处理技能</w:t>
            </w:r>
          </w:p>
        </w:tc>
        <w:tc>
          <w:tcPr>
            <w:tcW w:w="2127"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企业创建阶段相关业务的财税处理</w:t>
            </w: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货币资金投入的财税处理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非货币资金投入的财税处理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从债权人借入资金的财税处理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开办费用的财税处理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企业日常经营过程中相关业务的财税处理</w:t>
            </w: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固定资产的财税处理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存货的财税处理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无形资产的财税处理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金融资产的财税处理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长期股权投资的财税处理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非货币性资产交换的财税处理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债务重组的财税处理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企业重组的财税处理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职工薪酬的财税处理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日常经营相关成本费用的财税处理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日常经营相关收入的财税处理</w:t>
            </w:r>
          </w:p>
        </w:tc>
      </w:tr>
      <w:tr>
        <w:tblPrEx>
          <w:tblCellMar>
            <w:top w:w="0" w:type="dxa"/>
            <w:left w:w="0" w:type="dxa"/>
            <w:bottom w:w="0" w:type="dxa"/>
            <w:right w:w="0" w:type="dxa"/>
          </w:tblCellMar>
        </w:tblPrEx>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企业利润形成与分配的财税处理</w:t>
            </w: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企业利润分配的财税处理</w:t>
            </w:r>
          </w:p>
        </w:tc>
      </w:tr>
      <w:tr>
        <w:tblPrEx>
          <w:tblCellMar>
            <w:top w:w="0" w:type="dxa"/>
            <w:left w:w="0" w:type="dxa"/>
            <w:bottom w:w="0" w:type="dxa"/>
            <w:right w:w="0" w:type="dxa"/>
          </w:tblCellMar>
        </w:tblPrEx>
        <w:trPr>
          <w:trHeight w:val="222"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所得税会计</w:t>
            </w:r>
          </w:p>
        </w:tc>
      </w:tr>
      <w:tr>
        <w:tblPrEx>
          <w:tblCellMar>
            <w:top w:w="0" w:type="dxa"/>
            <w:left w:w="0" w:type="dxa"/>
            <w:bottom w:w="0" w:type="dxa"/>
            <w:right w:w="0" w:type="dxa"/>
          </w:tblCellMar>
        </w:tblPrEx>
        <w:trPr>
          <w:trHeight w:val="222"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财务报表的编制与分析</w:t>
            </w: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资产负债表与利润表的编制</w:t>
            </w:r>
          </w:p>
        </w:tc>
      </w:tr>
      <w:tr>
        <w:tblPrEx>
          <w:tblCellMar>
            <w:top w:w="0" w:type="dxa"/>
            <w:left w:w="0" w:type="dxa"/>
            <w:bottom w:w="0" w:type="dxa"/>
            <w:right w:w="0" w:type="dxa"/>
          </w:tblCellMar>
        </w:tblPrEx>
        <w:trPr>
          <w:trHeight w:val="222"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现金流量表的编制</w:t>
            </w:r>
          </w:p>
        </w:tc>
      </w:tr>
      <w:tr>
        <w:tblPrEx>
          <w:tblCellMar>
            <w:top w:w="0" w:type="dxa"/>
            <w:left w:w="0" w:type="dxa"/>
            <w:bottom w:w="0" w:type="dxa"/>
            <w:right w:w="0" w:type="dxa"/>
          </w:tblCellMar>
        </w:tblPrEx>
        <w:trPr>
          <w:trHeight w:val="222"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企业会计报表分析</w:t>
            </w:r>
          </w:p>
        </w:tc>
      </w:tr>
      <w:tr>
        <w:tblPrEx>
          <w:tblCellMar>
            <w:top w:w="0" w:type="dxa"/>
            <w:left w:w="0" w:type="dxa"/>
            <w:bottom w:w="0" w:type="dxa"/>
            <w:right w:w="0" w:type="dxa"/>
          </w:tblCellMar>
        </w:tblPrEx>
        <w:trPr>
          <w:trHeight w:val="222" w:hRule="atLeast"/>
        </w:trPr>
        <w:tc>
          <w:tcPr>
            <w:tcW w:w="774"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275"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127"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20"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企业税务报表分析</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93"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（4）决赛实操比赛内容</w:t>
      </w:r>
    </w:p>
    <w:tbl>
      <w:tblPr>
        <w:tblW w:w="7998" w:type="dxa"/>
        <w:tblInd w:w="0" w:type="dxa"/>
        <w:shd w:val="clear" w:color="auto" w:fill="C1E6C6"/>
        <w:tblLayout w:type="autofit"/>
        <w:tblCellMar>
          <w:top w:w="0" w:type="dxa"/>
          <w:left w:w="0" w:type="dxa"/>
          <w:bottom w:w="0" w:type="dxa"/>
          <w:right w:w="0" w:type="dxa"/>
        </w:tblCellMar>
      </w:tblPr>
      <w:tblGrid>
        <w:gridCol w:w="656"/>
        <w:gridCol w:w="1320"/>
        <w:gridCol w:w="2018"/>
        <w:gridCol w:w="4004"/>
      </w:tblGrid>
      <w:tr>
        <w:tblPrEx>
          <w:shd w:val="clear" w:color="auto" w:fill="C1E6C6"/>
          <w:tblCellMar>
            <w:top w:w="0" w:type="dxa"/>
            <w:left w:w="0" w:type="dxa"/>
            <w:bottom w:w="0" w:type="dxa"/>
            <w:right w:w="0" w:type="dxa"/>
          </w:tblCellMar>
        </w:tblPrEx>
        <w:trPr>
          <w:trHeight w:val="646" w:hRule="atLeast"/>
        </w:trPr>
        <w:tc>
          <w:tcPr>
            <w:tcW w:w="656" w:type="dxa"/>
            <w:tcBorders>
              <w:top w:val="single" w:color="auto" w:sz="8" w:space="0"/>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b/>
                <w:bCs/>
                <w:i w:val="0"/>
                <w:iCs w:val="0"/>
                <w:caps w:val="0"/>
                <w:color w:val="000000"/>
                <w:spacing w:val="0"/>
                <w:sz w:val="24"/>
                <w:szCs w:val="24"/>
                <w:bdr w:val="none" w:color="auto" w:sz="0" w:space="0"/>
              </w:rPr>
              <w:t>序号</w:t>
            </w:r>
          </w:p>
        </w:tc>
        <w:tc>
          <w:tcPr>
            <w:tcW w:w="1320" w:type="dxa"/>
            <w:tcBorders>
              <w:top w:val="single" w:color="auto" w:sz="8" w:space="0"/>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 w:hAnsi="仿宋" w:eastAsia="仿宋" w:cs="仿宋"/>
                <w:b/>
                <w:bCs/>
                <w:i w:val="0"/>
                <w:iCs w:val="0"/>
                <w:caps w:val="0"/>
                <w:color w:val="000000"/>
                <w:spacing w:val="0"/>
                <w:sz w:val="24"/>
                <w:szCs w:val="24"/>
                <w:bdr w:val="none" w:color="auto" w:sz="0" w:space="0"/>
              </w:rPr>
              <w:t>能力目标</w:t>
            </w:r>
          </w:p>
        </w:tc>
        <w:tc>
          <w:tcPr>
            <w:tcW w:w="2018" w:type="dxa"/>
            <w:tcBorders>
              <w:top w:val="single" w:color="auto" w:sz="8" w:space="0"/>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both"/>
            </w:pPr>
            <w:r>
              <w:rPr>
                <w:rFonts w:hint="eastAsia" w:ascii="仿宋" w:hAnsi="仿宋" w:eastAsia="仿宋" w:cs="仿宋"/>
                <w:b/>
                <w:bCs/>
                <w:i w:val="0"/>
                <w:iCs w:val="0"/>
                <w:caps w:val="0"/>
                <w:color w:val="000000"/>
                <w:spacing w:val="0"/>
                <w:sz w:val="24"/>
                <w:szCs w:val="24"/>
                <w:bdr w:val="none" w:color="auto" w:sz="0" w:space="0"/>
              </w:rPr>
              <w:t>具体要求</w:t>
            </w:r>
          </w:p>
        </w:tc>
        <w:tc>
          <w:tcPr>
            <w:tcW w:w="4004" w:type="dxa"/>
            <w:tcBorders>
              <w:top w:val="single" w:color="auto" w:sz="8" w:space="0"/>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center"/>
            </w:pPr>
            <w:r>
              <w:rPr>
                <w:rFonts w:hint="eastAsia" w:ascii="仿宋" w:hAnsi="仿宋" w:eastAsia="仿宋" w:cs="仿宋"/>
                <w:b/>
                <w:bCs/>
                <w:i w:val="0"/>
                <w:iCs w:val="0"/>
                <w:caps w:val="0"/>
                <w:color w:val="000000"/>
                <w:spacing w:val="0"/>
                <w:sz w:val="24"/>
                <w:szCs w:val="24"/>
                <w:bdr w:val="none" w:color="auto" w:sz="0" w:space="0"/>
              </w:rPr>
              <w:t>知识点</w:t>
            </w:r>
          </w:p>
        </w:tc>
      </w:tr>
      <w:tr>
        <w:tblPrEx>
          <w:tblCellMar>
            <w:top w:w="0" w:type="dxa"/>
            <w:left w:w="0" w:type="dxa"/>
            <w:bottom w:w="0" w:type="dxa"/>
            <w:right w:w="0"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一</w:t>
            </w:r>
          </w:p>
        </w:tc>
        <w:tc>
          <w:tcPr>
            <w:tcW w:w="1320"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掌握会计电算化处理</w:t>
            </w:r>
          </w:p>
        </w:tc>
        <w:tc>
          <w:tcPr>
            <w:tcW w:w="2018"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能够根据业务资料要求，在大赛指定比赛平台完成凭证填制、审核、记账、结账及报表操作</w:t>
            </w: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填制凭证</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审核凭证</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记账</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期间损益结转</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结账</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科目余额表查询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资产负债表编制</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利润表编制</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现金流量表编制</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所有者权益变动表编制</w:t>
            </w:r>
          </w:p>
        </w:tc>
      </w:tr>
      <w:tr>
        <w:tblPrEx>
          <w:tblCellMar>
            <w:top w:w="0" w:type="dxa"/>
            <w:left w:w="0" w:type="dxa"/>
            <w:bottom w:w="0" w:type="dxa"/>
            <w:right w:w="0"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二</w:t>
            </w:r>
          </w:p>
        </w:tc>
        <w:tc>
          <w:tcPr>
            <w:tcW w:w="1320"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掌握模拟税务局操作</w:t>
            </w:r>
          </w:p>
        </w:tc>
        <w:tc>
          <w:tcPr>
            <w:tcW w:w="2018"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能够根据业务资料要求，完成模拟税务局企业发行、发票发售及发票认证等操作</w:t>
            </w: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纳税人档案登记</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企业发票信息授权</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发行金税盘</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发行数字证书</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税局发票入库管理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企业发票发售管理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企业发票退回管理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认证管理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模拟税务局报税处理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红字发票管理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读取金税盘报税资料</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电子底账库查询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纳税申报审核</w:t>
            </w:r>
          </w:p>
        </w:tc>
      </w:tr>
      <w:tr>
        <w:tblPrEx>
          <w:tblCellMar>
            <w:top w:w="0" w:type="dxa"/>
            <w:left w:w="0" w:type="dxa"/>
            <w:bottom w:w="0" w:type="dxa"/>
            <w:right w:w="0"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三</w:t>
            </w:r>
          </w:p>
        </w:tc>
        <w:tc>
          <w:tcPr>
            <w:tcW w:w="1320"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掌握增值税防伪税控系统操作</w:t>
            </w:r>
          </w:p>
        </w:tc>
        <w:tc>
          <w:tcPr>
            <w:tcW w:w="2018"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能够根据业务资料完成开票系统的初始设置、发票开具及抄报税操作</w:t>
            </w: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初始设置</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参数设置、编码设置</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税收分类编码管理</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从金税盘读入发票和已购发票退回</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网络购票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发票库存查询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已购发票退回</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开具蓝字增值税普通发票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开具蓝字增值税专用发票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开具电子发票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开具清单发票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开具折扣发票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打印发票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填开红字增值税发票信息表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开具红字增值税专用发票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开具红字增值税普通发票</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增值税发票作废</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征期抄税及报税</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发票资料查询打印</w:t>
            </w:r>
          </w:p>
        </w:tc>
      </w:tr>
      <w:tr>
        <w:tblPrEx>
          <w:tblCellMar>
            <w:top w:w="0" w:type="dxa"/>
            <w:left w:w="0" w:type="dxa"/>
            <w:bottom w:w="0" w:type="dxa"/>
            <w:right w:w="0"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四</w:t>
            </w:r>
          </w:p>
        </w:tc>
        <w:tc>
          <w:tcPr>
            <w:tcW w:w="1320"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掌握增值税发票选择确认操作</w:t>
            </w:r>
          </w:p>
        </w:tc>
        <w:tc>
          <w:tcPr>
            <w:tcW w:w="2018"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能够根据业务资料进行增值税专用发票选择认证</w:t>
            </w: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数字证书登录</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认证状态查询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勾选状态查询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发票状态查询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发票勾选</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确认勾选发票清单</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未到期发票查询</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抵扣统计</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基本信息维护</w:t>
            </w:r>
          </w:p>
        </w:tc>
      </w:tr>
      <w:tr>
        <w:tblPrEx>
          <w:tblCellMar>
            <w:top w:w="0" w:type="dxa"/>
            <w:left w:w="0" w:type="dxa"/>
            <w:bottom w:w="0" w:type="dxa"/>
            <w:right w:w="0" w:type="dxa"/>
          </w:tblCellMar>
        </w:tblPrEx>
        <w:trPr>
          <w:trHeight w:val="328" w:hRule="atLeast"/>
        </w:trPr>
        <w:tc>
          <w:tcPr>
            <w:tcW w:w="656" w:type="dxa"/>
            <w:vMerge w:val="restart"/>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五</w:t>
            </w:r>
          </w:p>
        </w:tc>
        <w:tc>
          <w:tcPr>
            <w:tcW w:w="1320"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掌握网上纳税申报</w:t>
            </w:r>
          </w:p>
        </w:tc>
        <w:tc>
          <w:tcPr>
            <w:tcW w:w="2018" w:type="dxa"/>
            <w:vMerge w:val="restart"/>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能够根据业务资料准确填写报表</w:t>
            </w: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一般纳税人增值税纳税申报</w:t>
            </w:r>
          </w:p>
        </w:tc>
      </w:tr>
      <w:tr>
        <w:tblPrEx>
          <w:tblCellMar>
            <w:top w:w="0" w:type="dxa"/>
            <w:left w:w="0" w:type="dxa"/>
            <w:bottom w:w="0" w:type="dxa"/>
            <w:right w:w="0" w:type="dxa"/>
          </w:tblCellMar>
        </w:tblPrEx>
        <w:trPr>
          <w:trHeight w:val="32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小规模纳税人增值税纳税申报</w:t>
            </w:r>
          </w:p>
        </w:tc>
      </w:tr>
      <w:tr>
        <w:tblPrEx>
          <w:tblCellMar>
            <w:top w:w="0" w:type="dxa"/>
            <w:left w:w="0" w:type="dxa"/>
            <w:bottom w:w="0" w:type="dxa"/>
            <w:right w:w="0" w:type="dxa"/>
          </w:tblCellMar>
        </w:tblPrEx>
        <w:trPr>
          <w:trHeight w:val="338" w:hRule="atLeast"/>
        </w:trPr>
        <w:tc>
          <w:tcPr>
            <w:tcW w:w="656" w:type="dxa"/>
            <w:vMerge w:val="continue"/>
            <w:tcBorders>
              <w:top w:val="nil"/>
              <w:left w:val="single" w:color="auto" w:sz="8" w:space="0"/>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1320"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2018" w:type="dxa"/>
            <w:vMerge w:val="continue"/>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rPr>
                <w:rFonts w:hint="eastAsia" w:ascii="微软雅黑" w:hAnsi="微软雅黑" w:eastAsia="微软雅黑" w:cs="微软雅黑"/>
                <w:i w:val="0"/>
                <w:iCs w:val="0"/>
                <w:caps w:val="0"/>
                <w:color w:val="333333"/>
                <w:spacing w:val="0"/>
                <w:sz w:val="24"/>
                <w:szCs w:val="24"/>
              </w:rPr>
            </w:pPr>
          </w:p>
        </w:tc>
        <w:tc>
          <w:tcPr>
            <w:tcW w:w="4004" w:type="dxa"/>
            <w:tcBorders>
              <w:top w:val="nil"/>
              <w:left w:val="nil"/>
              <w:bottom w:val="single" w:color="auto" w:sz="8" w:space="0"/>
              <w:right w:val="single" w:color="auto" w:sz="8" w:space="0"/>
            </w:tcBorders>
            <w:shd w:val="clear" w:color="auto" w:fill="C1E6C6"/>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仿宋" w:hAnsi="仿宋" w:eastAsia="仿宋" w:cs="仿宋"/>
                <w:i w:val="0"/>
                <w:iCs w:val="0"/>
                <w:caps w:val="0"/>
                <w:color w:val="000000"/>
                <w:spacing w:val="0"/>
                <w:sz w:val="24"/>
                <w:szCs w:val="24"/>
                <w:bdr w:val="none" w:color="auto" w:sz="0" w:space="0"/>
              </w:rPr>
              <w:t>企业所得税申报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1"/>
          <w:szCs w:val="21"/>
          <w:bdr w:val="none" w:color="auto" w:sz="0" w:space="0"/>
          <w:shd w:val="clear" w:fill="C1E6C6"/>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3.成绩评定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网络自动评分，答对得相应分值，答错不计分，团队分数累加。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①记账凭证：科目名称、借贷方向、金额、摘要全部填写正确方能得分，其中任何一项错误均不得分；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②模拟税务局：所有考核项全部正确方能得分；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③增值税防伪税控系统：正确开具增值税专用发票、增值税普通发票并打印，正确开具增值税电子普通发票并下载。按发票管理办法及税收法律法规正确填写方能得分；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④财税报表：正确编写资产负债表、利润表、纳税申报表。按项目给分，最终得分为所有项目得分的合计；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⑤增值税发票选择确认：相关操作正确方能得分。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五、参赛报名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（一）参赛对象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安徽省本科在校学生均可参赛。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各高校组建本校的参赛代表队，不得跨校组队，以团队形式参加初赛。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技能赛每支参赛队伍由4名选手组成。每校限报4支队伍，每支队伍指定1-2名指导老师。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为保证竞赛公平公正，竞赛组委会、专家委员会、仲裁委员会、秘书处成员及相关工作人员不得作为参赛指导教师。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（二）报名要求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本科组技能赛参赛选手自行登陆竞赛报名网址（</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instrText xml:space="preserve"> HYPERLINK "http://csds.aufe.edu.cn/"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separate"/>
      </w:r>
      <w:r>
        <w:rPr>
          <w:rStyle w:val="6"/>
          <w:rFonts w:hint="default" w:ascii="方正仿宋_GBK" w:hAnsi="方正仿宋_GBK" w:eastAsia="方正仿宋_GBK" w:cs="方正仿宋_GBK"/>
          <w:i w:val="0"/>
          <w:iCs w:val="0"/>
          <w:caps w:val="0"/>
          <w:color w:val="000000"/>
          <w:spacing w:val="0"/>
          <w:sz w:val="32"/>
          <w:szCs w:val="32"/>
          <w:u w:val="none"/>
          <w:bdr w:val="none" w:color="auto" w:sz="0" w:space="0"/>
          <w:shd w:val="clear" w:fill="C1E6C6"/>
        </w:rPr>
        <w:t>http://csds.aufe.edu.cn</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end"/>
      </w: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），于2021年10月10日24：00之前报名参赛，逾期不再接受补报；报名后无特殊情况，不得变更报名信息。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所有参赛学校报名时需同时报送所有领队、指导教师、参赛学生、专家、裁判、组委会及秘书处成员承诺书签字原件或者扫描件（见附件），如是电子版，可以以校为单位统一发送到</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instrText xml:space="preserve"> HYPERLINK "mailto:58729280@qq.com"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separate"/>
      </w:r>
      <w:r>
        <w:rPr>
          <w:rStyle w:val="6"/>
          <w:rFonts w:hint="default" w:ascii="方正仿宋_GBK" w:hAnsi="方正仿宋_GBK" w:eastAsia="方正仿宋_GBK" w:cs="方正仿宋_GBK"/>
          <w:i w:val="0"/>
          <w:iCs w:val="0"/>
          <w:caps w:val="0"/>
          <w:color w:val="000000"/>
          <w:spacing w:val="0"/>
          <w:sz w:val="32"/>
          <w:szCs w:val="32"/>
          <w:u w:val="none"/>
          <w:bdr w:val="none" w:color="auto" w:sz="0" w:space="0"/>
          <w:shd w:val="clear" w:fill="C1E6C6"/>
        </w:rPr>
        <w:t>58729280@qq.com</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end"/>
      </w: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；如是纸质版，可以统一邮寄到安徽省蚌埠市曹山路962号安徽财经大学财政与公共管理学院 罗鸣令（收）。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六、赛程安排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具体比赛流程将在大赛官网上及时公布。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初赛：2021年10月10日-2021年10月20日；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决赛：2021年10月30日，比赛形式为线上云竞赛形式，采用监考机器人现场抓拍及人脸识别防作弊手段。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七、奖项设置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以进入省赛队伍数为基数，分设一、二、三等奖：一等奖占总参赛队伍数量的 10%，二等奖占总参赛队伍数量的 20%，三等奖占总参赛队伍数量的 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获得一等奖的指导教师为优秀指导教师。大赛设优秀组织奖，比例不超过参赛高校数的20%；按大赛组织情况和竞赛成绩设大赛个人先进工作者若干。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获奖队伍均在大赛官网上进行公示，公示无异议后报安徽省大学生创新创业教育办公室，并在安徽省高教网再次进行公示，无异议后，由安徽省教育厅发文公布获奖名单，颁发证书。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八、疫情防控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鉴于今年疫情防控的特殊情况，组委会、参赛院校、参赛队所有成员在竞赛期间必须遵守各级政府和所在学校的疫情防控要求。一旦发现参赛人员违反疫情防控规定，将取消参赛资格。组委会相关工作人员、评委等必须严格遵守疫情防控规定，确保赛事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九、申诉与仲裁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本赛项在比赛过程中若出现有失公正或有关人员违规等现象，参赛选手可在比赛现场向仲裁委员会提出书面申诉。仲裁委员会在接到申诉后的2个小时内组织复议，并及时反馈复议结果。仲裁委员会的仲裁结果为最终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100" w:right="0" w:hanging="200"/>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1"/>
          <w:szCs w:val="21"/>
          <w:bdr w:val="none" w:color="auto" w:sz="0" w:space="0"/>
          <w:shd w:val="clear" w:fill="C1E6C6"/>
        </w:rPr>
        <w:t>     </w:t>
      </w: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十、参赛须知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70" w:lineRule="atLeast"/>
        <w:ind w:left="0" w:right="0" w:firstLine="643"/>
        <w:rPr>
          <w:rFonts w:hint="eastAsia" w:ascii="微软雅黑" w:hAnsi="微软雅黑" w:eastAsia="微软雅黑" w:cs="微软雅黑"/>
          <w:b w:val="0"/>
          <w:bCs w:val="0"/>
          <w:i w:val="0"/>
          <w:iCs w:val="0"/>
          <w:caps w:val="0"/>
          <w:color w:val="333333"/>
          <w:spacing w:val="0"/>
          <w:sz w:val="27"/>
          <w:szCs w:val="27"/>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（一） 参赛选手须知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1.本赛项为团队赛。</w:t>
      </w:r>
      <w:bookmarkStart w:id="0" w:name="_GoBack"/>
      <w:bookmarkEnd w:id="0"/>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技能赛每支队伍由4名参赛选手组成，每人只能报名参加一支队伍。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2.参赛选手必须是参赛学校全日制正式在籍学生。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3.各参赛院校设领队1人，负责本校代表队参赛事务的组织、协调与管理。案例赛每个参赛团队限报1名指导教师。技能赛每个参赛团队限报1-2名指导教师。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4.参赛队选手在报名获得确认后，原则上不再更换，如筹备过程中，选手因故不能参赛，参赛学校主管部门需出具书面说明并按相关参赛选手资格补充人员并接受审核；竞赛开始后，参赛队不得更换参赛选手，不允许更换指导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5.熟悉竞赛规程，做好本参赛队准备、组织、管理工作。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6.贯彻执行大赛各项规定，竞赛期间不得私自接触裁判。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7.准时参加赛前领队会议，并认真传达落实会议精神，确保参赛选手准时参加各项比赛及活动。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8.指导教师和领队在比赛时需密切留意参赛选手的比赛时间，安排充足时间进行调度，避免出现因迟到而被取消比赛资格的现象。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70" w:lineRule="atLeast"/>
        <w:ind w:left="0" w:right="0" w:firstLine="643"/>
        <w:rPr>
          <w:rFonts w:hint="eastAsia" w:ascii="微软雅黑" w:hAnsi="微软雅黑" w:eastAsia="微软雅黑" w:cs="微软雅黑"/>
          <w:b w:val="0"/>
          <w:bCs w:val="0"/>
          <w:i w:val="0"/>
          <w:iCs w:val="0"/>
          <w:caps w:val="0"/>
          <w:color w:val="333333"/>
          <w:spacing w:val="0"/>
          <w:sz w:val="27"/>
          <w:szCs w:val="27"/>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（二）指导教师须知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1.比赛过程中，指导教师不得现场指导，不得现场书写和传递任何资料给参赛选手。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2.贯彻执行大赛各项规定，竞赛期间不得私自接触裁判。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3.指导教师一经报名、审核通过后，不得中途更换。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4.指导教师应负责赛事活动期间本队所有选手的人身及财产安全，如发现意外事故，应及时向大赛组委会报告。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70" w:lineRule="atLeast"/>
        <w:ind w:left="0" w:right="0" w:firstLine="643"/>
        <w:rPr>
          <w:rFonts w:hint="eastAsia" w:ascii="微软雅黑" w:hAnsi="微软雅黑" w:eastAsia="微软雅黑" w:cs="微软雅黑"/>
          <w:b w:val="0"/>
          <w:bCs w:val="0"/>
          <w:i w:val="0"/>
          <w:iCs w:val="0"/>
          <w:caps w:val="0"/>
          <w:color w:val="333333"/>
          <w:spacing w:val="0"/>
          <w:sz w:val="27"/>
          <w:szCs w:val="27"/>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（三） 工作人员须知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1.赛场负责人在比赛的前2周进行赛场安排。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2.在比赛的前5天，检查赛场网络环境，确保运行状态正常。务必在正式比赛前2个工作日完成所有竞赛场地的布置。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line="23" w:lineRule="atLeast"/>
        <w:ind w:left="0" w:right="0" w:firstLine="640"/>
        <w:jc w:val="both"/>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3.比赛结束以后，所有成绩数据将上报大赛组委会。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十一、竞赛安全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竞赛承办方设置应急指挥中心，负责竞赛期间的突发事件应急处置，确保大赛的正常开展。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（一）组队责任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参赛队伍应对本队队员的人身和财产安全负责。各参赛学校须制定相关管理制度，并对所有学生进行安全教育，实现与赛场安全管理的对接。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（二）应急处理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比赛期间发生意外事故，发现者应第一时间报告赛项组委会，同时采取措施避免事态扩大。赛项组委会应立即启动预案予以解决。赛项出现重大安全问题可以停赛，是否停赛由赛项组委会决定。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（三）处罚措施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如果出现违反竞赛规程的行为，由竞赛监督委员会决定是否取消参赛资格。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十二、竞赛直播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本届比赛采用网络竞赛系统平台方式进行。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十三、竞赛宣传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邀请网络媒体、报社等新闻媒体进行赛事报道。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3"/>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b/>
          <w:bCs/>
          <w:i w:val="0"/>
          <w:iCs w:val="0"/>
          <w:caps w:val="0"/>
          <w:color w:val="000000"/>
          <w:spacing w:val="0"/>
          <w:sz w:val="32"/>
          <w:szCs w:val="32"/>
          <w:bdr w:val="none" w:color="auto" w:sz="0" w:space="0"/>
          <w:shd w:val="clear" w:fill="C1E6C6"/>
        </w:rPr>
        <w:t>十三、联系方式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大赛相关信息由组委会统一对外发布。本通知及大赛期间相关事宜由秘书处负责解释。未尽事宜，可与大赛秘书处联系。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大赛等相关内容以及其他竞赛技术文件，请登陆大赛官方网站（</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instrText xml:space="preserve"> HYPERLINK "http://csds.aufe.edu.cn/"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separate"/>
      </w:r>
      <w:r>
        <w:rPr>
          <w:rStyle w:val="6"/>
          <w:rFonts w:hint="default" w:ascii="方正仿宋_GBK" w:hAnsi="方正仿宋_GBK" w:eastAsia="方正仿宋_GBK" w:cs="方正仿宋_GBK"/>
          <w:i w:val="0"/>
          <w:iCs w:val="0"/>
          <w:caps w:val="0"/>
          <w:color w:val="000000"/>
          <w:spacing w:val="0"/>
          <w:sz w:val="32"/>
          <w:szCs w:val="32"/>
          <w:u w:val="none"/>
          <w:bdr w:val="none" w:color="auto" w:sz="0" w:space="0"/>
          <w:shd w:val="clear" w:fill="C1E6C6"/>
        </w:rPr>
        <w:t>http://csds.aufe.edu.cn/</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end"/>
      </w: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）进行查看。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大赛秘书处地址：安徽省蚌埠市曹山路962号安徽财经大学财政与公共管理学院；邮编：233030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联系人：罗鸣令（0552-3175802）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大赛QQ群：省级财税技能大赛指导教师群（QQ群号：791825818）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C1E6C6"/>
        <w:spacing w:before="0" w:beforeAutospacing="0" w:after="0" w:afterAutospacing="0"/>
        <w:ind w:left="0" w:right="0" w:firstLine="640"/>
        <w:rPr>
          <w:rFonts w:hint="eastAsia" w:ascii="微软雅黑" w:hAnsi="微软雅黑" w:eastAsia="微软雅黑" w:cs="微软雅黑"/>
          <w:i w:val="0"/>
          <w:iCs w:val="0"/>
          <w:caps w:val="0"/>
          <w:color w:val="333333"/>
          <w:spacing w:val="0"/>
          <w:sz w:val="24"/>
          <w:szCs w:val="24"/>
        </w:rPr>
      </w:pPr>
      <w:r>
        <w:rPr>
          <w:rFonts w:hint="default" w:ascii="方正仿宋_GBK" w:hAnsi="方正仿宋_GBK" w:eastAsia="方正仿宋_GBK" w:cs="方正仿宋_GBK"/>
          <w:i w:val="0"/>
          <w:iCs w:val="0"/>
          <w:caps w:val="0"/>
          <w:color w:val="000000"/>
          <w:spacing w:val="0"/>
          <w:sz w:val="32"/>
          <w:szCs w:val="32"/>
          <w:bdr w:val="none" w:color="auto" w:sz="0" w:space="0"/>
          <w:shd w:val="clear" w:fill="C1E6C6"/>
        </w:rPr>
        <w:t>大赛邮箱：</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instrText xml:space="preserve"> HYPERLINK "mailto:58729280@qq.com"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separate"/>
      </w:r>
      <w:r>
        <w:rPr>
          <w:rStyle w:val="6"/>
          <w:rFonts w:hint="default" w:ascii="方正仿宋_GBK" w:hAnsi="方正仿宋_GBK" w:eastAsia="方正仿宋_GBK" w:cs="方正仿宋_GBK"/>
          <w:i w:val="0"/>
          <w:iCs w:val="0"/>
          <w:caps w:val="0"/>
          <w:color w:val="000000"/>
          <w:spacing w:val="0"/>
          <w:sz w:val="32"/>
          <w:szCs w:val="32"/>
          <w:u w:val="none"/>
          <w:bdr w:val="none" w:color="auto" w:sz="0" w:space="0"/>
          <w:shd w:val="clear" w:fill="C1E6C6"/>
        </w:rPr>
        <w:t>58729280@qq.com</w:t>
      </w:r>
      <w:r>
        <w:rPr>
          <w:rFonts w:hint="eastAsia" w:ascii="微软雅黑" w:hAnsi="微软雅黑" w:eastAsia="微软雅黑" w:cs="微软雅黑"/>
          <w:i w:val="0"/>
          <w:iCs w:val="0"/>
          <w:caps w:val="0"/>
          <w:color w:val="333333"/>
          <w:spacing w:val="0"/>
          <w:sz w:val="24"/>
          <w:szCs w:val="24"/>
          <w:u w:val="none"/>
          <w:bdr w:val="none" w:color="auto" w:sz="0" w:space="0"/>
          <w:shd w:val="clear" w:fill="C1E6C6"/>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70D70"/>
    <w:rsid w:val="44270D70"/>
    <w:rsid w:val="4F71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2021-10-25T01:29:00Z</dcterms:created>
  <dc:creator>孙承飞</dc:creator>
  <cp:lastModifiedBy>孙承飞</cp:lastModifiedBy>
  <dcterms:modified xsi:type="dcterms:W3CDTF">2021-10-25T01:35:53Z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9F9EA96CAB3242BCB20FA3AFE0C0A64F</vt:lpwstr>
  </property>
</Properties>
</file>